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46" w:rsidRPr="000F584B" w:rsidRDefault="00ED3A46" w:rsidP="00ED3A46">
      <w:pPr>
        <w:keepNext/>
        <w:keepLines/>
        <w:spacing w:line="276" w:lineRule="auto"/>
        <w:ind w:firstLine="709"/>
        <w:contextualSpacing/>
        <w:jc w:val="right"/>
        <w:outlineLvl w:val="0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 w:rsidRPr="000F584B">
        <w:rPr>
          <w:rFonts w:asciiTheme="minorHAnsi" w:hAnsiTheme="minorHAnsi" w:cs="Arial"/>
          <w:bCs/>
          <w:i/>
          <w:sz w:val="22"/>
          <w:szCs w:val="22"/>
          <w:lang w:eastAsia="en-US"/>
        </w:rPr>
        <w:t>Приложение №1</w:t>
      </w:r>
    </w:p>
    <w:p w:rsidR="00ED3A46" w:rsidRPr="000F584B" w:rsidRDefault="00ED3A46" w:rsidP="00ED3A46">
      <w:pPr>
        <w:keepNext/>
        <w:keepLines/>
        <w:spacing w:line="276" w:lineRule="auto"/>
        <w:ind w:firstLine="709"/>
        <w:contextualSpacing/>
        <w:jc w:val="right"/>
        <w:outlineLvl w:val="0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 w:rsidRPr="000F584B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К </w:t>
      </w:r>
      <w:r>
        <w:rPr>
          <w:rFonts w:asciiTheme="minorHAnsi" w:hAnsiTheme="minorHAnsi" w:cs="Arial"/>
          <w:bCs/>
          <w:i/>
          <w:sz w:val="22"/>
          <w:szCs w:val="22"/>
          <w:lang w:eastAsia="en-US"/>
        </w:rPr>
        <w:t>Условиям подключения</w:t>
      </w:r>
      <w:r w:rsidRPr="000F584B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№_______ от ________</w:t>
      </w:r>
    </w:p>
    <w:p w:rsidR="00920915" w:rsidRDefault="00920915" w:rsidP="00920915">
      <w:pPr>
        <w:jc w:val="both"/>
        <w:rPr>
          <w:sz w:val="16"/>
          <w:szCs w:val="16"/>
        </w:rPr>
      </w:pPr>
    </w:p>
    <w:p w:rsidR="00920915" w:rsidRDefault="00920915" w:rsidP="00920915">
      <w:pPr>
        <w:jc w:val="both"/>
        <w:rPr>
          <w:sz w:val="16"/>
          <w:szCs w:val="16"/>
        </w:rPr>
      </w:pPr>
    </w:p>
    <w:p w:rsidR="00920915" w:rsidRPr="00C0753B" w:rsidRDefault="00920915" w:rsidP="00920915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ТЕХНИЧЕСКИЕ </w:t>
      </w:r>
      <w:r w:rsidRPr="004117BE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  <w:lang w:val="bg-BG"/>
        </w:rPr>
        <w:t>№ ___</w:t>
      </w:r>
      <w:r w:rsidRPr="009D6693">
        <w:rPr>
          <w:b/>
          <w:sz w:val="28"/>
          <w:szCs w:val="28"/>
          <w:lang w:val="bg-BG"/>
        </w:rPr>
        <w:t xml:space="preserve"> от </w:t>
      </w:r>
      <w:r>
        <w:rPr>
          <w:b/>
          <w:sz w:val="28"/>
          <w:szCs w:val="28"/>
        </w:rPr>
        <w:t>__________</w:t>
      </w:r>
      <w:r w:rsidRPr="009D6693">
        <w:rPr>
          <w:b/>
          <w:sz w:val="28"/>
          <w:szCs w:val="28"/>
          <w:lang w:val="bg-BG"/>
        </w:rPr>
        <w:t xml:space="preserve"> г.</w:t>
      </w:r>
    </w:p>
    <w:p w:rsidR="00920915" w:rsidRPr="004117BE" w:rsidRDefault="00920915" w:rsidP="00920915">
      <w:pPr>
        <w:ind w:firstLine="720"/>
        <w:jc w:val="center"/>
        <w:rPr>
          <w:b/>
          <w:i/>
        </w:rPr>
      </w:pPr>
      <w:r w:rsidRPr="004117BE">
        <w:rPr>
          <w:b/>
          <w:i/>
        </w:rPr>
        <w:t xml:space="preserve">на организацию коммерческого узла учета тепловой энергии, теплоносителя </w:t>
      </w:r>
    </w:p>
    <w:p w:rsidR="00920915" w:rsidRPr="004117BE" w:rsidRDefault="00920915" w:rsidP="00920915">
      <w:pPr>
        <w:ind w:firstLine="720"/>
        <w:jc w:val="center"/>
        <w:rPr>
          <w:b/>
          <w:i/>
        </w:rPr>
      </w:pPr>
    </w:p>
    <w:p w:rsidR="00920915" w:rsidRPr="004117BE" w:rsidRDefault="00920915" w:rsidP="00920915">
      <w:pPr>
        <w:tabs>
          <w:tab w:val="left" w:pos="567"/>
        </w:tabs>
        <w:ind w:firstLine="709"/>
        <w:jc w:val="both"/>
      </w:pPr>
      <w:r w:rsidRPr="004117BE">
        <w:t>Технические условия (далее – ТУ) составлены в соответствие требованиям Правил коммерческого учёта тепловой энергии, теплоносителя, утвержденным Постановлением прав</w:t>
      </w:r>
      <w:r>
        <w:t xml:space="preserve">ительства РФ от 18.11.2013г. № </w:t>
      </w:r>
      <w:r w:rsidRPr="004117BE">
        <w:t xml:space="preserve">1034 (далее – Правила учета). </w:t>
      </w:r>
    </w:p>
    <w:p w:rsidR="00920915" w:rsidRPr="004117BE" w:rsidRDefault="00920915" w:rsidP="00920915">
      <w:pPr>
        <w:widowControl w:val="0"/>
        <w:numPr>
          <w:ilvl w:val="0"/>
          <w:numId w:val="6"/>
        </w:numPr>
        <w:ind w:left="0" w:firstLine="284"/>
        <w:jc w:val="both"/>
      </w:pPr>
      <w:r w:rsidRPr="004117BE">
        <w:rPr>
          <w:b/>
          <w:bCs/>
        </w:rPr>
        <w:t>Срок действия ТУ - 1 год.</w:t>
      </w:r>
      <w:r w:rsidRPr="004117BE">
        <w:rPr>
          <w:bCs/>
        </w:rPr>
        <w:t xml:space="preserve"> После истечения срока действия необходимо переоформить </w:t>
      </w:r>
      <w:r w:rsidRPr="002270DD">
        <w:rPr>
          <w:bCs/>
        </w:rPr>
        <w:t>ТУ, в противном случае ТУ считаются аннулированными.</w:t>
      </w:r>
    </w:p>
    <w:p w:rsidR="00920915" w:rsidRPr="004117BE" w:rsidRDefault="00920915" w:rsidP="00920915">
      <w:pPr>
        <w:widowControl w:val="0"/>
        <w:numPr>
          <w:ilvl w:val="0"/>
          <w:numId w:val="6"/>
        </w:numPr>
        <w:ind w:left="0" w:firstLine="284"/>
        <w:jc w:val="both"/>
      </w:pPr>
      <w:r w:rsidRPr="004117BE">
        <w:rPr>
          <w:b/>
          <w:bCs/>
        </w:rPr>
        <w:t xml:space="preserve">Наименование объекта: </w:t>
      </w:r>
      <w:r>
        <w:rPr>
          <w:bCs/>
          <w:snapToGrid w:val="0"/>
          <w:u w:val="single"/>
        </w:rPr>
        <w:t>_________________________</w:t>
      </w:r>
    </w:p>
    <w:p w:rsidR="00920915" w:rsidRPr="004117BE" w:rsidRDefault="00920915" w:rsidP="00920915">
      <w:pPr>
        <w:widowControl w:val="0"/>
        <w:shd w:val="clear" w:color="auto" w:fill="FFFFFF"/>
        <w:autoSpaceDE w:val="0"/>
        <w:autoSpaceDN w:val="0"/>
        <w:adjustRightInd w:val="0"/>
        <w:ind w:left="284" w:firstLine="436"/>
        <w:jc w:val="both"/>
        <w:rPr>
          <w:b/>
          <w:bCs/>
        </w:rPr>
      </w:pPr>
      <w:r w:rsidRPr="004117BE">
        <w:rPr>
          <w:b/>
          <w:bCs/>
        </w:rPr>
        <w:t>Местонахождение объекта:</w:t>
      </w:r>
      <w:r>
        <w:rPr>
          <w:b/>
          <w:bCs/>
        </w:rPr>
        <w:t xml:space="preserve"> </w:t>
      </w:r>
      <w:r>
        <w:rPr>
          <w:bCs/>
          <w:u w:val="single"/>
        </w:rPr>
        <w:t>_____________________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50"/>
        <w:gridCol w:w="1215"/>
        <w:gridCol w:w="825"/>
        <w:gridCol w:w="945"/>
        <w:gridCol w:w="750"/>
        <w:gridCol w:w="1215"/>
        <w:gridCol w:w="825"/>
      </w:tblGrid>
      <w:tr w:rsidR="00920915" w:rsidRPr="004117BE" w:rsidTr="003E6CC5">
        <w:trPr>
          <w:hidden/>
        </w:trPr>
        <w:tc>
          <w:tcPr>
            <w:tcW w:w="3750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750" w:type="dxa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1215" w:type="dxa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825" w:type="dxa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</w:tr>
      <w:tr w:rsidR="00920915" w:rsidRPr="004117BE" w:rsidTr="003E6CC5">
        <w:trPr>
          <w:gridBefore w:val="1"/>
          <w:gridAfter w:val="4"/>
          <w:wBefore w:w="15" w:type="dxa"/>
          <w:wAfter w:w="3735" w:type="dxa"/>
          <w:hidden/>
        </w:trPr>
        <w:tc>
          <w:tcPr>
            <w:tcW w:w="750" w:type="dxa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1215" w:type="dxa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825" w:type="dxa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</w:tr>
    </w:tbl>
    <w:p w:rsidR="00920915" w:rsidRDefault="00920915" w:rsidP="00920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A4053">
        <w:rPr>
          <w:b/>
          <w:bCs/>
        </w:rPr>
        <w:t>Граница балансовой принадлежности сетей</w:t>
      </w:r>
      <w:r w:rsidRPr="00AA4053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_________________________</w:t>
      </w:r>
    </w:p>
    <w:p w:rsidR="00920915" w:rsidRPr="001E0F1D" w:rsidRDefault="00920915" w:rsidP="009209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bCs/>
          <w:color w:val="000000"/>
        </w:rPr>
      </w:pPr>
      <w:r w:rsidRPr="001E0F1D">
        <w:rPr>
          <w:b/>
        </w:rPr>
        <w:t xml:space="preserve">Тепловая нагрузка по каждому виду:  </w:t>
      </w:r>
    </w:p>
    <w:p w:rsidR="00920915" w:rsidRPr="004117BE" w:rsidRDefault="00920915" w:rsidP="00920915">
      <w:pPr>
        <w:widowControl w:val="0"/>
        <w:numPr>
          <w:ilvl w:val="0"/>
          <w:numId w:val="7"/>
        </w:numPr>
        <w:ind w:left="993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на отопление:</w:t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val="en-US" w:eastAsia="en-US"/>
        </w:rPr>
        <w:t>Q</w:t>
      </w:r>
      <w:r w:rsidRPr="004117BE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>_____</w:t>
      </w:r>
      <w:r w:rsidRPr="004117BE">
        <w:rPr>
          <w:rFonts w:eastAsia="Calibri"/>
          <w:lang w:eastAsia="en-US"/>
        </w:rPr>
        <w:t xml:space="preserve"> Гкал/ч; </w:t>
      </w:r>
    </w:p>
    <w:p w:rsidR="00920915" w:rsidRPr="004117BE" w:rsidRDefault="00920915" w:rsidP="00920915">
      <w:pPr>
        <w:widowControl w:val="0"/>
        <w:numPr>
          <w:ilvl w:val="0"/>
          <w:numId w:val="2"/>
        </w:numPr>
        <w:ind w:left="993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на вентиляцию:</w:t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val="en-US" w:eastAsia="en-US"/>
        </w:rPr>
        <w:t>Q</w:t>
      </w:r>
      <w:r w:rsidRPr="004117BE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 xml:space="preserve">_____ </w:t>
      </w:r>
      <w:r w:rsidRPr="004117BE">
        <w:rPr>
          <w:rFonts w:eastAsia="Calibri"/>
          <w:lang w:eastAsia="en-US"/>
        </w:rPr>
        <w:t>Гкал/ч;</w:t>
      </w:r>
    </w:p>
    <w:p w:rsidR="00920915" w:rsidRPr="004117BE" w:rsidRDefault="00920915" w:rsidP="00920915">
      <w:pPr>
        <w:widowControl w:val="0"/>
        <w:numPr>
          <w:ilvl w:val="0"/>
          <w:numId w:val="2"/>
        </w:numPr>
        <w:ind w:left="993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на </w:t>
      </w:r>
      <w:r w:rsidRPr="000B67F0">
        <w:rPr>
          <w:rFonts w:eastAsia="Calibri"/>
          <w:lang w:eastAsia="en-US"/>
        </w:rPr>
        <w:t>ГВС (подогрев холодной воды):</w:t>
      </w:r>
      <w:r w:rsidRPr="000B67F0">
        <w:rPr>
          <w:rFonts w:eastAsia="Calibri"/>
          <w:lang w:eastAsia="en-US"/>
        </w:rPr>
        <w:tab/>
      </w:r>
      <w:r w:rsidRPr="000B67F0">
        <w:rPr>
          <w:rFonts w:eastAsia="Calibri"/>
          <w:lang w:eastAsia="en-US"/>
        </w:rPr>
        <w:tab/>
      </w:r>
      <w:r w:rsidRPr="004117BE">
        <w:rPr>
          <w:rFonts w:eastAsia="Calibri"/>
          <w:lang w:val="en-US" w:eastAsia="en-US"/>
        </w:rPr>
        <w:t>Q</w:t>
      </w:r>
      <w:r w:rsidRPr="004117BE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>_____</w:t>
      </w:r>
      <w:r w:rsidRPr="004117BE">
        <w:rPr>
          <w:rFonts w:eastAsia="Calibri"/>
          <w:lang w:eastAsia="en-US"/>
        </w:rPr>
        <w:t xml:space="preserve"> Гкал/ч. </w:t>
      </w:r>
    </w:p>
    <w:p w:rsidR="00920915" w:rsidRPr="004117BE" w:rsidRDefault="00920915" w:rsidP="00920915">
      <w:pPr>
        <w:widowControl w:val="0"/>
        <w:numPr>
          <w:ilvl w:val="0"/>
          <w:numId w:val="6"/>
        </w:numPr>
        <w:ind w:left="0" w:firstLine="284"/>
        <w:rPr>
          <w:rFonts w:eastAsia="Calibri"/>
          <w:b/>
          <w:lang w:eastAsia="en-US"/>
        </w:rPr>
      </w:pPr>
      <w:r w:rsidRPr="004117BE">
        <w:rPr>
          <w:rFonts w:eastAsia="Calibri"/>
          <w:b/>
          <w:lang w:eastAsia="en-US"/>
        </w:rPr>
        <w:t>Расчетные параметры теплоносителя в точке поставки:</w:t>
      </w:r>
    </w:p>
    <w:p w:rsidR="00920915" w:rsidRPr="004117BE" w:rsidRDefault="00920915" w:rsidP="00920915">
      <w:pPr>
        <w:widowControl w:val="0"/>
        <w:numPr>
          <w:ilvl w:val="0"/>
          <w:numId w:val="3"/>
        </w:numPr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расход теплоносителя зима:</w:t>
      </w:r>
      <w:r w:rsidRPr="004117BE">
        <w:rPr>
          <w:rFonts w:eastAsia="Calibri"/>
          <w:lang w:eastAsia="en-US"/>
        </w:rPr>
        <w:tab/>
        <w:t xml:space="preserve">                </w:t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val="en-US" w:eastAsia="en-US"/>
        </w:rPr>
        <w:t>G</w:t>
      </w:r>
      <w:r>
        <w:rPr>
          <w:rFonts w:eastAsia="Calibri"/>
          <w:lang w:eastAsia="en-US"/>
        </w:rPr>
        <w:t xml:space="preserve"> = ____ </w:t>
      </w:r>
      <w:r w:rsidRPr="004117BE">
        <w:rPr>
          <w:rFonts w:eastAsia="Calibri"/>
          <w:lang w:eastAsia="en-US"/>
        </w:rPr>
        <w:t>м</w:t>
      </w:r>
      <w:r w:rsidRPr="004117BE">
        <w:rPr>
          <w:rFonts w:eastAsia="Calibri"/>
          <w:vertAlign w:val="superscript"/>
          <w:lang w:eastAsia="en-US"/>
        </w:rPr>
        <w:t>3</w:t>
      </w:r>
      <w:r w:rsidRPr="004117BE">
        <w:rPr>
          <w:rFonts w:eastAsia="Calibri"/>
          <w:lang w:eastAsia="en-US"/>
        </w:rPr>
        <w:t>/ч;</w:t>
      </w:r>
    </w:p>
    <w:p w:rsidR="00920915" w:rsidRPr="004117BE" w:rsidRDefault="00920915" w:rsidP="00920915">
      <w:pPr>
        <w:widowControl w:val="0"/>
        <w:numPr>
          <w:ilvl w:val="0"/>
          <w:numId w:val="3"/>
        </w:numPr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расход тепл</w:t>
      </w:r>
      <w:r>
        <w:rPr>
          <w:rFonts w:eastAsia="Calibri"/>
          <w:lang w:eastAsia="en-US"/>
        </w:rPr>
        <w:t xml:space="preserve">оносителя лето: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</w:t>
      </w:r>
      <w:r w:rsidRPr="004117BE">
        <w:rPr>
          <w:rFonts w:eastAsia="Calibri"/>
          <w:lang w:val="en-US" w:eastAsia="en-US"/>
        </w:rPr>
        <w:t>G</w:t>
      </w:r>
      <w:r>
        <w:rPr>
          <w:rFonts w:eastAsia="Calibri"/>
          <w:lang w:eastAsia="en-US"/>
        </w:rPr>
        <w:t xml:space="preserve"> = ____</w:t>
      </w:r>
      <w:r w:rsidRPr="004117BE">
        <w:rPr>
          <w:rFonts w:eastAsia="Calibri"/>
          <w:lang w:eastAsia="en-US"/>
        </w:rPr>
        <w:t xml:space="preserve"> м</w:t>
      </w:r>
      <w:r w:rsidRPr="004117BE">
        <w:rPr>
          <w:rFonts w:eastAsia="Calibri"/>
          <w:vertAlign w:val="superscript"/>
          <w:lang w:eastAsia="en-US"/>
        </w:rPr>
        <w:t>3</w:t>
      </w:r>
      <w:r w:rsidRPr="004117BE">
        <w:rPr>
          <w:rFonts w:eastAsia="Calibri"/>
          <w:lang w:eastAsia="en-US"/>
        </w:rPr>
        <w:t xml:space="preserve">/ч; </w:t>
      </w:r>
    </w:p>
    <w:p w:rsidR="00920915" w:rsidRPr="004117BE" w:rsidRDefault="00920915" w:rsidP="00920915">
      <w:pPr>
        <w:widowControl w:val="0"/>
        <w:numPr>
          <w:ilvl w:val="0"/>
          <w:numId w:val="3"/>
        </w:numPr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давление в подающем трубопроводе макс/мин:</w:t>
      </w:r>
      <w:r w:rsidRPr="004117BE">
        <w:rPr>
          <w:rFonts w:eastAsia="Calibri"/>
          <w:lang w:eastAsia="en-US"/>
        </w:rPr>
        <w:tab/>
      </w:r>
      <w:r w:rsidRPr="004117BE">
        <w:rPr>
          <w:rFonts w:eastAsia="Calibri"/>
          <w:lang w:val="en-US" w:eastAsia="en-US"/>
        </w:rPr>
        <w:t>P</w:t>
      </w:r>
      <w:r w:rsidRPr="004117BE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>___/___</w:t>
      </w:r>
      <w:r w:rsidRPr="004117BE">
        <w:rPr>
          <w:rFonts w:eastAsia="Calibri"/>
          <w:lang w:eastAsia="en-US"/>
        </w:rPr>
        <w:t xml:space="preserve">  кгс/см²;</w:t>
      </w:r>
    </w:p>
    <w:p w:rsidR="00920915" w:rsidRPr="004117BE" w:rsidRDefault="00920915" w:rsidP="00920915">
      <w:pPr>
        <w:widowControl w:val="0"/>
        <w:numPr>
          <w:ilvl w:val="0"/>
          <w:numId w:val="3"/>
        </w:numPr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давление в обратном трубопроводе макс/мин:  </w:t>
      </w:r>
      <w:r w:rsidRPr="004117BE">
        <w:rPr>
          <w:rFonts w:eastAsia="Calibri"/>
          <w:lang w:eastAsia="en-US"/>
        </w:rPr>
        <w:tab/>
        <w:t xml:space="preserve">P = </w:t>
      </w:r>
      <w:r>
        <w:rPr>
          <w:rFonts w:eastAsia="Calibri"/>
          <w:lang w:eastAsia="en-US"/>
        </w:rPr>
        <w:t xml:space="preserve">___/___  </w:t>
      </w:r>
      <w:r w:rsidRPr="004117BE">
        <w:rPr>
          <w:rFonts w:eastAsia="Calibri"/>
          <w:lang w:eastAsia="en-US"/>
        </w:rPr>
        <w:t>кгс/см²;</w:t>
      </w:r>
    </w:p>
    <w:p w:rsidR="00920915" w:rsidRPr="004117BE" w:rsidRDefault="00920915" w:rsidP="00920915">
      <w:pPr>
        <w:widowControl w:val="0"/>
        <w:numPr>
          <w:ilvl w:val="0"/>
          <w:numId w:val="3"/>
        </w:numPr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температура теплоносителя в подающем и обратном трубопроводе макс/мин:</w:t>
      </w:r>
    </w:p>
    <w:p w:rsidR="00920915" w:rsidRPr="004117BE" w:rsidRDefault="00920915" w:rsidP="0092091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подающем трубопроводе</w:t>
      </w:r>
      <w:r w:rsidRPr="004117BE">
        <w:rPr>
          <w:rFonts w:eastAsia="Calibri"/>
          <w:lang w:eastAsia="en-US"/>
        </w:rPr>
        <w:t xml:space="preserve"> </w:t>
      </w:r>
      <w:r w:rsidRPr="004117BE"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 xml:space="preserve"> = ___/ ___ °С; в обратном трубопроводе </w:t>
      </w:r>
      <w:r w:rsidRPr="004117BE"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 xml:space="preserve"> = ___/ ___ °С </w:t>
      </w: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5"/>
        <w:gridCol w:w="15"/>
        <w:gridCol w:w="15"/>
        <w:gridCol w:w="1365"/>
        <w:gridCol w:w="15"/>
        <w:gridCol w:w="15"/>
        <w:gridCol w:w="15"/>
        <w:gridCol w:w="1778"/>
        <w:gridCol w:w="502"/>
        <w:gridCol w:w="750"/>
        <w:gridCol w:w="675"/>
        <w:gridCol w:w="15"/>
        <w:gridCol w:w="15"/>
        <w:gridCol w:w="15"/>
        <w:gridCol w:w="496"/>
        <w:gridCol w:w="209"/>
        <w:gridCol w:w="15"/>
        <w:gridCol w:w="15"/>
        <w:gridCol w:w="15"/>
        <w:gridCol w:w="563"/>
        <w:gridCol w:w="8"/>
        <w:gridCol w:w="599"/>
        <w:gridCol w:w="15"/>
        <w:gridCol w:w="15"/>
        <w:gridCol w:w="15"/>
        <w:gridCol w:w="70"/>
        <w:gridCol w:w="710"/>
        <w:gridCol w:w="15"/>
        <w:gridCol w:w="15"/>
        <w:gridCol w:w="15"/>
        <w:gridCol w:w="269"/>
        <w:gridCol w:w="515"/>
      </w:tblGrid>
      <w:tr w:rsidR="00920915" w:rsidRPr="004117BE" w:rsidTr="003E6CC5">
        <w:trPr>
          <w:gridAfter w:val="11"/>
          <w:wAfter w:w="2253" w:type="dxa"/>
          <w:hidden/>
        </w:trPr>
        <w:tc>
          <w:tcPr>
            <w:tcW w:w="3750" w:type="dxa"/>
            <w:gridSpan w:val="10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750" w:type="dxa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1216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825" w:type="dxa"/>
            <w:gridSpan w:val="6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</w:tr>
      <w:tr w:rsidR="00920915" w:rsidRPr="004117BE" w:rsidTr="003E6CC5">
        <w:trPr>
          <w:gridBefore w:val="1"/>
          <w:gridAfter w:val="5"/>
          <w:wBefore w:w="15" w:type="dxa"/>
          <w:wAfter w:w="829" w:type="dxa"/>
          <w:hidden/>
        </w:trPr>
        <w:tc>
          <w:tcPr>
            <w:tcW w:w="1410" w:type="dxa"/>
            <w:gridSpan w:val="4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3750" w:type="dxa"/>
            <w:gridSpan w:val="7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750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1215" w:type="dxa"/>
            <w:gridSpan w:val="6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825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</w:tr>
      <w:tr w:rsidR="00920915" w:rsidRPr="004117BE" w:rsidTr="003E6CC5">
        <w:trPr>
          <w:gridBefore w:val="1"/>
          <w:wBefore w:w="15" w:type="dxa"/>
          <w:hidden/>
        </w:trPr>
        <w:tc>
          <w:tcPr>
            <w:tcW w:w="3233" w:type="dxa"/>
            <w:gridSpan w:val="8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3285" w:type="dxa"/>
            <w:gridSpan w:val="12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722" w:type="dxa"/>
            <w:gridSpan w:val="6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1024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515" w:type="dxa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</w:tr>
      <w:tr w:rsidR="00920915" w:rsidRPr="004117BE" w:rsidTr="003E6CC5">
        <w:trPr>
          <w:gridBefore w:val="1"/>
          <w:wBefore w:w="15" w:type="dxa"/>
          <w:hidden/>
        </w:trPr>
        <w:tc>
          <w:tcPr>
            <w:tcW w:w="3233" w:type="dxa"/>
            <w:gridSpan w:val="8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3285" w:type="dxa"/>
            <w:gridSpan w:val="12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722" w:type="dxa"/>
            <w:gridSpan w:val="6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1024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515" w:type="dxa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</w:tr>
      <w:tr w:rsidR="00920915" w:rsidRPr="004117BE" w:rsidTr="003E6CC5">
        <w:trPr>
          <w:gridBefore w:val="1"/>
          <w:gridAfter w:val="5"/>
          <w:wBefore w:w="15" w:type="dxa"/>
          <w:wAfter w:w="829" w:type="dxa"/>
          <w:hidden/>
        </w:trPr>
        <w:tc>
          <w:tcPr>
            <w:tcW w:w="1410" w:type="dxa"/>
            <w:gridSpan w:val="4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3750" w:type="dxa"/>
            <w:gridSpan w:val="7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750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1215" w:type="dxa"/>
            <w:gridSpan w:val="6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825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</w:tr>
      <w:tr w:rsidR="00920915" w:rsidRPr="004117BE" w:rsidTr="003E6CC5">
        <w:trPr>
          <w:gridBefore w:val="2"/>
          <w:gridAfter w:val="4"/>
          <w:wBefore w:w="30" w:type="dxa"/>
          <w:wAfter w:w="814" w:type="dxa"/>
          <w:hidden/>
        </w:trPr>
        <w:tc>
          <w:tcPr>
            <w:tcW w:w="1410" w:type="dxa"/>
            <w:gridSpan w:val="4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3750" w:type="dxa"/>
            <w:gridSpan w:val="7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750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1215" w:type="dxa"/>
            <w:gridSpan w:val="6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825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</w:tr>
      <w:tr w:rsidR="00920915" w:rsidRPr="004117BE" w:rsidTr="003E6CC5">
        <w:trPr>
          <w:gridBefore w:val="3"/>
          <w:gridAfter w:val="3"/>
          <w:wBefore w:w="45" w:type="dxa"/>
          <w:wAfter w:w="799" w:type="dxa"/>
          <w:hidden/>
        </w:trPr>
        <w:tc>
          <w:tcPr>
            <w:tcW w:w="1410" w:type="dxa"/>
            <w:gridSpan w:val="4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3750" w:type="dxa"/>
            <w:gridSpan w:val="7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750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1215" w:type="dxa"/>
            <w:gridSpan w:val="6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825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</w:tr>
      <w:tr w:rsidR="00920915" w:rsidRPr="004117BE" w:rsidTr="003E6CC5">
        <w:trPr>
          <w:gridBefore w:val="4"/>
          <w:gridAfter w:val="2"/>
          <w:wBefore w:w="60" w:type="dxa"/>
          <w:wAfter w:w="784" w:type="dxa"/>
          <w:hidden/>
        </w:trPr>
        <w:tc>
          <w:tcPr>
            <w:tcW w:w="1410" w:type="dxa"/>
            <w:gridSpan w:val="4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3750" w:type="dxa"/>
            <w:gridSpan w:val="7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750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1215" w:type="dxa"/>
            <w:gridSpan w:val="6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  <w:tc>
          <w:tcPr>
            <w:tcW w:w="825" w:type="dxa"/>
            <w:gridSpan w:val="5"/>
            <w:vAlign w:val="center"/>
            <w:hideMark/>
          </w:tcPr>
          <w:p w:rsidR="00920915" w:rsidRPr="004117BE" w:rsidRDefault="00920915" w:rsidP="003E6CC5">
            <w:pPr>
              <w:ind w:firstLine="284"/>
              <w:rPr>
                <w:vanish/>
              </w:rPr>
            </w:pPr>
          </w:p>
        </w:tc>
      </w:tr>
    </w:tbl>
    <w:p w:rsidR="00920915" w:rsidRPr="004117BE" w:rsidRDefault="00920915" w:rsidP="009209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eastAsia="Calibri"/>
          <w:lang w:eastAsia="en-US"/>
        </w:rPr>
      </w:pPr>
      <w:r w:rsidRPr="004117BE">
        <w:rPr>
          <w:rFonts w:eastAsia="Calibri"/>
          <w:b/>
          <w:lang w:eastAsia="en-US"/>
        </w:rPr>
        <w:t>Температурный график</w:t>
      </w:r>
      <w:r w:rsidRPr="004117BE">
        <w:rPr>
          <w:rFonts w:eastAsia="Calibri"/>
          <w:lang w:eastAsia="en-US"/>
        </w:rPr>
        <w:t xml:space="preserve"> (режим отпуска тепла): качественное регулиров</w:t>
      </w:r>
      <w:r>
        <w:rPr>
          <w:rFonts w:eastAsia="Calibri"/>
          <w:lang w:eastAsia="en-US"/>
        </w:rPr>
        <w:t>ание по отопительному графику ___</w:t>
      </w:r>
      <w:r w:rsidRPr="004117BE">
        <w:rPr>
          <w:rFonts w:eastAsia="Calibri"/>
          <w:lang w:eastAsia="en-US"/>
        </w:rPr>
        <w:t xml:space="preserve"> / </w:t>
      </w:r>
      <w:r>
        <w:rPr>
          <w:rFonts w:eastAsia="Calibri"/>
          <w:lang w:eastAsia="en-US"/>
        </w:rPr>
        <w:t>___</w:t>
      </w:r>
      <w:r w:rsidRPr="004117BE">
        <w:rPr>
          <w:rFonts w:eastAsia="Calibri"/>
          <w:lang w:eastAsia="en-US"/>
        </w:rPr>
        <w:t>°С.</w:t>
      </w:r>
    </w:p>
    <w:p w:rsidR="00920915" w:rsidRPr="004117BE" w:rsidRDefault="00920915" w:rsidP="00920915">
      <w:pPr>
        <w:widowControl w:val="0"/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4117BE">
        <w:t xml:space="preserve">   </w:t>
      </w:r>
      <w:r w:rsidRPr="004117BE">
        <w:rPr>
          <w:b/>
        </w:rPr>
        <w:t>Удаленный съём данных</w:t>
      </w:r>
      <w:r w:rsidRPr="004117BE">
        <w:t xml:space="preserve">: тепловычислитель узла учета должен иметь возможность подключения к Автоматизированной системе коммерческого учета тепловой энергии (далее - АСКУТЭ) </w:t>
      </w:r>
      <w:r>
        <w:t>«Наименование компании»</w:t>
      </w:r>
      <w:r w:rsidRPr="004117BE">
        <w:t xml:space="preserve"> с использованием стандартных открытых промышленных протоколов и интерфейсов. Вариант подключения узла учета к АСКУТЭ должен соответствовать набору типовых проектных решений (далее - ТПР) в составе проекта АСКУТЭ </w:t>
      </w:r>
      <w:r>
        <w:t>«Наименование компании»</w:t>
      </w:r>
      <w:r w:rsidRPr="004117BE">
        <w:t xml:space="preserve">. Выбор ТПР согласуется с </w:t>
      </w:r>
      <w:r>
        <w:t>«Наименование компании»</w:t>
      </w:r>
      <w:r w:rsidRPr="004117BE">
        <w:t xml:space="preserve"> на стадии согласования проекта узла учета.</w:t>
      </w:r>
    </w:p>
    <w:p w:rsidR="00920915" w:rsidRPr="004117BE" w:rsidRDefault="00920915" w:rsidP="00920915">
      <w:pPr>
        <w:widowControl w:val="0"/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4117BE">
        <w:rPr>
          <w:b/>
        </w:rPr>
        <w:t>Рекомендации по размещению и выбору средств измерений (далее - СИ) узла учета</w:t>
      </w:r>
      <w:r w:rsidRPr="004117BE">
        <w:t>: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Узел учета и СИ в его составе должны соответствовать требованиям Правил учета.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Узел учёта должен располагаться после границы балансовой принадлежности сетей, быть максимально к ней приближен (с учётом требований к прямолинейным участкам трубопроводов до и после расходомеров) и обеспечивать учёт всей подключенной тепловой нагрузки. Рекомендуется длины прямолинейных участков до и после расходомеров увеличить не менее чем в 1,5 раза от минимально возможных по требованиям технической документации от производителя СИ.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Потери давления в зоне установки расходомеров по каждому трубопроводу не должны превышать 0,5 м вод. ст.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Условия окружающей среды в месте размещения СИ должны соответствовать эксплуатационным требованиям, согласно технических требований руководств (инструкций) по эксплуатации. 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Монтаж электронных блоков СИ, блоков питания, автоматов подачи напряжения питания и т.п. выполнить в отдельном металлическом шкафу, исключающем </w:t>
      </w:r>
      <w:r w:rsidRPr="004117BE">
        <w:rPr>
          <w:rFonts w:eastAsia="Calibri"/>
          <w:lang w:eastAsia="en-US"/>
        </w:rPr>
        <w:lastRenderedPageBreak/>
        <w:t>несанкционированный доступ к указанному оборудованию (степень защиты не ниже IP56).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Диапазоны </w:t>
      </w:r>
      <w:r w:rsidR="00ED3A46" w:rsidRPr="004117BE">
        <w:rPr>
          <w:rFonts w:eastAsia="Calibri"/>
          <w:lang w:eastAsia="en-US"/>
        </w:rPr>
        <w:t>измерений,</w:t>
      </w:r>
      <w:r w:rsidRPr="004117BE">
        <w:rPr>
          <w:rFonts w:eastAsia="Calibri"/>
          <w:lang w:eastAsia="en-US"/>
        </w:rPr>
        <w:t xml:space="preserve"> применяемых СИ должны соответствовать договорным </w:t>
      </w:r>
      <w:r w:rsidR="00ED3A46" w:rsidRPr="004117BE">
        <w:rPr>
          <w:rFonts w:eastAsia="Calibri"/>
          <w:lang w:eastAsia="en-US"/>
        </w:rPr>
        <w:t>ограничениям и</w:t>
      </w:r>
      <w:r w:rsidRPr="004117BE">
        <w:rPr>
          <w:rFonts w:eastAsia="Calibri"/>
          <w:lang w:eastAsia="en-US"/>
        </w:rPr>
        <w:t xml:space="preserve"> возможным значениям измеряемых (расчетных) параметров </w:t>
      </w:r>
      <w:r w:rsidR="00ED3A46" w:rsidRPr="004117BE">
        <w:rPr>
          <w:rFonts w:eastAsia="Calibri"/>
          <w:lang w:eastAsia="en-US"/>
        </w:rPr>
        <w:t>теплоносителя как</w:t>
      </w:r>
      <w:r w:rsidRPr="004117BE">
        <w:rPr>
          <w:rFonts w:eastAsia="Calibri"/>
          <w:lang w:eastAsia="en-US"/>
        </w:rPr>
        <w:t xml:space="preserve"> в отопительном, так и межотопительном периодах.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Все СИ должны иметь методику поверки, утвержденную в установленном порядке, межповерочный интервал не менее 4-х лет </w:t>
      </w:r>
      <w:r w:rsidR="00ED3A46" w:rsidRPr="004117BE">
        <w:rPr>
          <w:rFonts w:eastAsia="Calibri"/>
          <w:lang w:eastAsia="en-US"/>
        </w:rPr>
        <w:t>и действующее</w:t>
      </w:r>
      <w:r w:rsidRPr="004117BE">
        <w:rPr>
          <w:rFonts w:eastAsia="Calibri"/>
          <w:lang w:eastAsia="en-US"/>
        </w:rPr>
        <w:t xml:space="preserve"> на момент ввода в эксплуатацию свидетельство об утверждении типа СИ (должны быть внесены в Госреестр СИ РФ).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Все СИ должны иметь отдельные места пломбирования, для защиты от несанкционированного доступа.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Рекомендуется применять следующие типы тепловы</w:t>
      </w:r>
      <w:r>
        <w:rPr>
          <w:rFonts w:eastAsia="Calibri"/>
          <w:lang w:eastAsia="en-US"/>
        </w:rPr>
        <w:t xml:space="preserve">числителей ВКТ-7, </w:t>
      </w:r>
      <w:r>
        <w:rPr>
          <w:rFonts w:eastAsia="Calibri"/>
          <w:lang w:eastAsia="en-US"/>
        </w:rPr>
        <w:br/>
        <w:t>ТЭКОН</w:t>
      </w:r>
      <w:r w:rsidRPr="004117BE">
        <w:rPr>
          <w:rFonts w:eastAsia="Calibri"/>
          <w:lang w:eastAsia="en-US"/>
        </w:rPr>
        <w:t>-19 или аналогичные, укомплектованные соответствующими первичными преобразователями и соответствующие настоящим ТУ.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 По</w:t>
      </w:r>
      <w:r>
        <w:rPr>
          <w:rFonts w:eastAsia="Calibri"/>
          <w:lang w:eastAsia="en-US"/>
        </w:rPr>
        <w:t xml:space="preserve"> </w:t>
      </w:r>
      <w:r w:rsidRPr="004117BE">
        <w:rPr>
          <w:rFonts w:eastAsia="Calibri"/>
          <w:lang w:eastAsia="en-US"/>
        </w:rPr>
        <w:t>принципу действия с точки зрения надежности, прост</w:t>
      </w:r>
      <w:r>
        <w:rPr>
          <w:rFonts w:eastAsia="Calibri"/>
          <w:lang w:eastAsia="en-US"/>
        </w:rPr>
        <w:t xml:space="preserve">оты и удобства обслуживании </w:t>
      </w:r>
      <w:r w:rsidRPr="004117BE">
        <w:rPr>
          <w:rFonts w:eastAsia="Calibri"/>
          <w:lang w:eastAsia="en-US"/>
        </w:rPr>
        <w:t>рекомендуется в узлах коммерческого учета потребителей применять ультразвуковые или электромагнитные расходомеры с импульсным или частотным выходом, имеющие сертификат соответствия Госстандарта РФ.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Рекомендуется применять парные комплекты преобразователей температуры теплоносителя.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Контрольные кабели и кабели питания не должны иметь промежуточных соединений на всей длине следования.</w:t>
      </w:r>
    </w:p>
    <w:p w:rsidR="00920915" w:rsidRPr="004117BE" w:rsidRDefault="00920915" w:rsidP="00920915">
      <w:pPr>
        <w:widowControl w:val="0"/>
        <w:numPr>
          <w:ilvl w:val="0"/>
          <w:numId w:val="6"/>
        </w:numPr>
        <w:shd w:val="clear" w:color="auto" w:fill="FFFFFF"/>
        <w:tabs>
          <w:tab w:val="left" w:pos="223"/>
          <w:tab w:val="left" w:pos="742"/>
        </w:tabs>
        <w:autoSpaceDE w:val="0"/>
        <w:autoSpaceDN w:val="0"/>
        <w:adjustRightInd w:val="0"/>
        <w:ind w:left="0" w:firstLine="284"/>
        <w:jc w:val="both"/>
        <w:rPr>
          <w:rFonts w:eastAsia="Calibri"/>
          <w:b/>
          <w:lang w:eastAsia="en-US"/>
        </w:rPr>
      </w:pPr>
      <w:r w:rsidRPr="004117BE">
        <w:rPr>
          <w:rFonts w:eastAsia="Calibri"/>
          <w:b/>
          <w:lang w:eastAsia="en-US"/>
        </w:rPr>
        <w:t>Требования к проекту на узел коммерческого учета.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Проект узла учёта тепловой энергии должен соответствовать требованиям: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настоящих ТУ; 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Правил учета;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ГОСТ 21.602-2003г. «Правила выполнения рабочей документации отопления, вентиляции и кондиционирования»; 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ГОСТ 21.408-93 «Правила выполнения рабочей документации автоматизации технологических процессов»; 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ГОСТ 21.1101-2009 «Система проектной документации для строительства. Основные требования к проектной и рабочей документации»; 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СП 124.13330.2012 «СНиП 41-02-2003 Тепловые сети»; 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Постановление Правительства РФ от 16.02.2008 N 87  "О составе разделов проектной документации и требованиях к их содержанию"; 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СНиП 3.05.06-85 «Электротехнические устройства»; 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СНиП 3.05.07-85 «Системы автоматизации»;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ГОСТ 2.701-2008 «Единая система конструкторской документации. Схемы. Виды и типы. Общие требования к выполнению»; 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ГОСТ 21.404-85 «Автоматизация технологических процессов. Обозначение условных приборов и средств автоматизации в схемах»;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 ГОСТ  21.110-95 СПДС «Правила выполнения спецификации оборудования, изделий и материалов»;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«Правил технической эксплуатации тепловых энергоустановок» 2003г.;</w:t>
      </w:r>
    </w:p>
    <w:p w:rsidR="00920915" w:rsidRPr="004117BE" w:rsidRDefault="00920915" w:rsidP="00920915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 Свода правил СП 41-101-95.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Проект  должен быть согласован с  теплоснабжающей  организацией  </w:t>
      </w:r>
      <w:r>
        <w:rPr>
          <w:rFonts w:eastAsia="Calibri"/>
          <w:lang w:eastAsia="en-US"/>
        </w:rPr>
        <w:t>«Наименование компании»</w:t>
      </w:r>
      <w:r w:rsidRPr="004117BE">
        <w:rPr>
          <w:rFonts w:eastAsia="Calibri"/>
          <w:lang w:eastAsia="en-US"/>
        </w:rPr>
        <w:t xml:space="preserve">  до поставки СИ и начала производства монтажных  работ.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Проект должен быть разработан организацией, имеющей Свидетельство о допуске к соответствующему виду работ, выданное саморегулируемой организацией (СРО)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Проект узла учёта должен содержать расчёт потерь тепловой энергии, теплоносителя  в тепловых сетях заявителя от границы балансовой принадлежности до точки учёта, подтверждённой технической или проектной документацией, который </w:t>
      </w:r>
      <w:r w:rsidRPr="004117BE">
        <w:rPr>
          <w:rFonts w:eastAsia="Calibri"/>
          <w:lang w:eastAsia="en-US"/>
        </w:rPr>
        <w:lastRenderedPageBreak/>
        <w:t>производится согласно ст. 35 Постановления Правительства Российской Федерации от 8.08.2012г. № 808 "Об организации теплоснабжения в Российской Федерации о внесении изменений в некоторые акты Правительства Российской Федерации" в соответствии с Федеральным законом «О теплоснабжении».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На схеме тепловых сетей в проекте узла учёта указать длины и диаметры трубопроводов от границы балансовой принадлежности до места установки преобразователей расхода теплоносителя и после них на протяженности не менее 30 </w:t>
      </w:r>
      <w:r w:rsidRPr="004117BE">
        <w:rPr>
          <w:rFonts w:eastAsia="Calibri"/>
          <w:lang w:val="en-US" w:eastAsia="en-US"/>
        </w:rPr>
        <w:t>D</w:t>
      </w:r>
      <w:r w:rsidRPr="004117BE">
        <w:rPr>
          <w:rFonts w:eastAsia="Calibri"/>
          <w:lang w:eastAsia="en-US"/>
        </w:rPr>
        <w:t>у трубопровода.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Проектом предусмотреть технические решения по соблюдению условий эксплуатации СИ.</w:t>
      </w:r>
    </w:p>
    <w:p w:rsidR="00920915" w:rsidRPr="004117BE" w:rsidRDefault="00920915" w:rsidP="00920915">
      <w:pPr>
        <w:widowControl w:val="0"/>
        <w:numPr>
          <w:ilvl w:val="1"/>
          <w:numId w:val="6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Проектом предусмотреть организацию передачи данных узла коммерческого учёта в АСКУТЭ </w:t>
      </w:r>
      <w:r>
        <w:rPr>
          <w:rFonts w:eastAsia="Calibri"/>
          <w:lang w:eastAsia="en-US"/>
        </w:rPr>
        <w:t>«Наименование компании».</w:t>
      </w:r>
      <w:r w:rsidRPr="004117BE">
        <w:rPr>
          <w:rFonts w:eastAsia="Calibri"/>
          <w:lang w:eastAsia="en-US"/>
        </w:rPr>
        <w:t xml:space="preserve">     </w:t>
      </w:r>
    </w:p>
    <w:p w:rsidR="00920915" w:rsidRPr="004117BE" w:rsidRDefault="00920915" w:rsidP="00920915">
      <w:pPr>
        <w:widowControl w:val="0"/>
        <w:numPr>
          <w:ilvl w:val="0"/>
          <w:numId w:val="6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0" w:firstLine="284"/>
        <w:jc w:val="both"/>
        <w:rPr>
          <w:rFonts w:eastAsia="Calibri"/>
          <w:lang w:eastAsia="en-US"/>
        </w:rPr>
      </w:pPr>
      <w:r w:rsidRPr="004117BE">
        <w:rPr>
          <w:rFonts w:eastAsia="Calibri"/>
          <w:b/>
          <w:lang w:eastAsia="en-US"/>
        </w:rPr>
        <w:t>Проект узла учёта тепловой энергии, теплоносителя должен содержать: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настоящие ТУ;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копии  актов разграничения балансовой принадлежности и сведения о расчётных нагрузках   из договоров теплоснабжения  для все потребителей, снабжение теплом которых осуществляется через проектируемый узел учета; 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принципиальную схему узла учета с указанием мест установки первичных преобразователей, размещения приборов учёта и схемы кабельных проводок;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электрические и монтажные схемы подключения приборов учёта;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настроечную базу данных, вводимую в тепловычислитель (в том числе при переходе на летний и зимний режимы работы);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схему пломбирования средств измерений и устройств, входящих в состав узла учёта;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применяемые формулы расчёта тепловой энергии, теплоносителя;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 xml:space="preserve">расчет погрешностей определения количества тепловой энергии и теплоносителя, отпущенного по подающим трубопроводам и возвращенного по обратным трубопроводам в точках </w:t>
      </w:r>
      <w:r w:rsidRPr="004117BE">
        <w:rPr>
          <w:rFonts w:eastAsia="Calibri"/>
          <w:lang w:val="en-US" w:eastAsia="en-US"/>
        </w:rPr>
        <w:t>G</w:t>
      </w:r>
      <w:r w:rsidRPr="004117BE">
        <w:rPr>
          <w:rFonts w:eastAsia="Calibri"/>
          <w:vertAlign w:val="subscript"/>
          <w:lang w:val="en-US" w:eastAsia="en-US"/>
        </w:rPr>
        <w:t>min</w:t>
      </w:r>
      <w:r w:rsidRPr="004117BE">
        <w:rPr>
          <w:rFonts w:eastAsia="Calibri"/>
          <w:lang w:eastAsia="en-US"/>
        </w:rPr>
        <w:t>; 0.5*</w:t>
      </w:r>
      <w:r w:rsidRPr="004117BE">
        <w:rPr>
          <w:rFonts w:eastAsia="Calibri"/>
          <w:lang w:val="en-US" w:eastAsia="en-US"/>
        </w:rPr>
        <w:t>G</w:t>
      </w:r>
      <w:r w:rsidRPr="004117BE">
        <w:rPr>
          <w:rFonts w:eastAsia="Calibri"/>
          <w:vertAlign w:val="subscript"/>
          <w:lang w:val="en-US" w:eastAsia="en-US"/>
        </w:rPr>
        <w:t>max</w:t>
      </w:r>
      <w:r w:rsidRPr="004117BE">
        <w:rPr>
          <w:rFonts w:eastAsia="Calibri"/>
          <w:lang w:eastAsia="en-US"/>
        </w:rPr>
        <w:t xml:space="preserve">; </w:t>
      </w:r>
      <w:r w:rsidRPr="004117BE">
        <w:rPr>
          <w:rFonts w:eastAsia="Calibri"/>
          <w:lang w:val="en-US" w:eastAsia="en-US"/>
        </w:rPr>
        <w:t>G</w:t>
      </w:r>
      <w:r w:rsidRPr="004117BE">
        <w:rPr>
          <w:rFonts w:eastAsia="Calibri"/>
          <w:vertAlign w:val="subscript"/>
          <w:lang w:val="en-US" w:eastAsia="en-US"/>
        </w:rPr>
        <w:t>max</w:t>
      </w:r>
      <w:r w:rsidRPr="004117BE">
        <w:rPr>
          <w:rFonts w:eastAsia="Calibri"/>
          <w:lang w:eastAsia="en-US"/>
        </w:rPr>
        <w:t>, в соответствии с диапазоном измерений расходов счетчика жидкости, с учетом диапазона расчетных тепловых нагрузок и параметров теплоносителя в разных режимах работы теплосети (минимальные и максимальные параметры температуры и давления теплоносителя в подающих и обратных трубопроводах на границе балансовой принадлежности должны быть взяты исходя из расчетных параметров соответствующих ответвлений тепловых сетей);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формы отчётных ведомостей показаний приборов учёта, в т.ч. показания расхода теплоносителя в тоннах и метрах кубических;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монтажные схемы установки расходомеров, датчиков температуры и датчиков давления;</w:t>
      </w:r>
    </w:p>
    <w:p w:rsidR="00920915" w:rsidRPr="004117BE" w:rsidRDefault="00920915" w:rsidP="00920915">
      <w:pPr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117BE">
        <w:rPr>
          <w:rFonts w:eastAsia="Calibri"/>
          <w:lang w:eastAsia="en-US"/>
        </w:rPr>
        <w:t>спецификацию применяемого оборудования и материалов.</w:t>
      </w:r>
    </w:p>
    <w:p w:rsidR="00920915" w:rsidRPr="003B32AE" w:rsidRDefault="00920915" w:rsidP="0092091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3B32AE">
        <w:rPr>
          <w:rFonts w:eastAsia="Calibri"/>
          <w:lang w:eastAsia="en-US"/>
        </w:rPr>
        <w:t>Разработанный проект  согласовать с теплоснабжающей организацией.</w:t>
      </w:r>
    </w:p>
    <w:p w:rsidR="00920915" w:rsidRDefault="00920915" w:rsidP="00920915">
      <w:pPr>
        <w:tabs>
          <w:tab w:val="left" w:pos="6663"/>
        </w:tabs>
        <w:ind w:left="1418"/>
      </w:pPr>
    </w:p>
    <w:p w:rsidR="00920915" w:rsidRPr="003B32AE" w:rsidRDefault="00920915" w:rsidP="00920915">
      <w:pPr>
        <w:tabs>
          <w:tab w:val="left" w:pos="6914"/>
        </w:tabs>
        <w:jc w:val="both"/>
        <w:rPr>
          <w:rFonts w:eastAsia="Calibri"/>
          <w:lang w:eastAsia="en-US" w:bidi="en-US"/>
        </w:rPr>
      </w:pPr>
      <w:r w:rsidRPr="003B32AE">
        <w:rPr>
          <w:rFonts w:eastAsia="Calibri"/>
          <w:lang w:eastAsia="en-US" w:bidi="en-US"/>
        </w:rPr>
        <w:t xml:space="preserve">                                                 </w:t>
      </w:r>
      <w:r>
        <w:rPr>
          <w:rFonts w:eastAsia="Calibri"/>
          <w:lang w:eastAsia="en-US" w:bidi="en-US"/>
        </w:rPr>
        <w:t xml:space="preserve">                       </w:t>
      </w:r>
      <w:r>
        <w:rPr>
          <w:rFonts w:eastAsia="Calibri"/>
          <w:lang w:eastAsia="en-US" w:bidi="en-US"/>
        </w:rPr>
        <w:br/>
        <w:t>______</w:t>
      </w:r>
      <w:r w:rsidRPr="003B32AE">
        <w:rPr>
          <w:rFonts w:eastAsia="Calibri"/>
          <w:lang w:eastAsia="en-US" w:bidi="en-US"/>
        </w:rPr>
        <w:t xml:space="preserve">______________                                                                          </w:t>
      </w:r>
      <w:r>
        <w:rPr>
          <w:rFonts w:eastAsia="Calibri"/>
          <w:lang w:eastAsia="en-US" w:bidi="en-US"/>
        </w:rPr>
        <w:t xml:space="preserve">_______________                   </w:t>
      </w:r>
      <w:r w:rsidRPr="003B32AE">
        <w:rPr>
          <w:rFonts w:eastAsia="Calibri"/>
          <w:lang w:eastAsia="en-US" w:bidi="en-US"/>
        </w:rPr>
        <w:t xml:space="preserve">   </w:t>
      </w:r>
      <w:r>
        <w:rPr>
          <w:rFonts w:eastAsia="Calibri"/>
          <w:u w:val="single"/>
          <w:lang w:eastAsia="en-US" w:bidi="en-US"/>
        </w:rPr>
        <w:t xml:space="preserve">               </w:t>
      </w:r>
      <w:r w:rsidRPr="003B32AE">
        <w:rPr>
          <w:rFonts w:eastAsia="Calibri"/>
          <w:lang w:eastAsia="en-US" w:bidi="en-US"/>
        </w:rPr>
        <w:t xml:space="preserve">(должность)                                                                                                  </w:t>
      </w:r>
      <w:r>
        <w:rPr>
          <w:rFonts w:eastAsia="Calibri"/>
          <w:lang w:eastAsia="en-US" w:bidi="en-US"/>
        </w:rPr>
        <w:t xml:space="preserve">                   </w:t>
      </w:r>
      <w:r w:rsidRPr="003B32AE">
        <w:rPr>
          <w:rFonts w:eastAsia="Calibri"/>
          <w:lang w:eastAsia="en-US" w:bidi="en-US"/>
        </w:rPr>
        <w:t>(ФИО)</w:t>
      </w:r>
    </w:p>
    <w:p w:rsidR="00920915" w:rsidRPr="003B32AE" w:rsidRDefault="00920915" w:rsidP="00920915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76" w:lineRule="auto"/>
        <w:ind w:left="1418"/>
        <w:jc w:val="both"/>
        <w:rPr>
          <w:b/>
          <w:color w:val="000000"/>
        </w:rPr>
      </w:pPr>
    </w:p>
    <w:p w:rsidR="00920915" w:rsidRPr="003B32AE" w:rsidRDefault="00920915" w:rsidP="00920915">
      <w:pPr>
        <w:ind w:left="1418"/>
        <w:jc w:val="both"/>
        <w:rPr>
          <w:sz w:val="16"/>
          <w:szCs w:val="16"/>
        </w:rPr>
      </w:pPr>
    </w:p>
    <w:p w:rsidR="00920915" w:rsidRPr="003B32AE" w:rsidRDefault="00920915" w:rsidP="00920915">
      <w:pPr>
        <w:ind w:left="1418"/>
        <w:jc w:val="both"/>
        <w:rPr>
          <w:sz w:val="16"/>
          <w:szCs w:val="16"/>
        </w:rPr>
      </w:pPr>
    </w:p>
    <w:p w:rsidR="00920915" w:rsidRPr="003B32AE" w:rsidRDefault="00920915" w:rsidP="00920915">
      <w:pPr>
        <w:ind w:left="1418"/>
        <w:jc w:val="both"/>
        <w:rPr>
          <w:sz w:val="16"/>
          <w:szCs w:val="16"/>
        </w:rPr>
      </w:pPr>
    </w:p>
    <w:p w:rsidR="00920915" w:rsidRDefault="00920915" w:rsidP="00920915">
      <w:pPr>
        <w:rPr>
          <w:sz w:val="16"/>
          <w:szCs w:val="16"/>
        </w:rPr>
      </w:pPr>
    </w:p>
    <w:p w:rsidR="00920915" w:rsidRDefault="00920915" w:rsidP="00920915">
      <w:pPr>
        <w:rPr>
          <w:sz w:val="16"/>
          <w:szCs w:val="16"/>
        </w:rPr>
      </w:pPr>
      <w:bookmarkStart w:id="0" w:name="_GoBack"/>
      <w:bookmarkEnd w:id="0"/>
    </w:p>
    <w:p w:rsidR="00920915" w:rsidRDefault="00920915" w:rsidP="00920915">
      <w:pPr>
        <w:rPr>
          <w:sz w:val="16"/>
          <w:szCs w:val="16"/>
        </w:rPr>
      </w:pPr>
    </w:p>
    <w:p w:rsidR="00920915" w:rsidRDefault="00920915" w:rsidP="00920915">
      <w:pPr>
        <w:rPr>
          <w:sz w:val="16"/>
          <w:szCs w:val="16"/>
        </w:rPr>
      </w:pPr>
    </w:p>
    <w:p w:rsidR="00920915" w:rsidRDefault="00920915" w:rsidP="00920915">
      <w:pPr>
        <w:rPr>
          <w:sz w:val="16"/>
          <w:szCs w:val="16"/>
        </w:rPr>
      </w:pPr>
    </w:p>
    <w:p w:rsidR="00920915" w:rsidRPr="003B32AE" w:rsidRDefault="00920915" w:rsidP="00920915">
      <w:pPr>
        <w:rPr>
          <w:sz w:val="16"/>
          <w:szCs w:val="16"/>
        </w:rPr>
      </w:pPr>
      <w:r w:rsidRPr="003B32AE">
        <w:rPr>
          <w:sz w:val="16"/>
          <w:szCs w:val="16"/>
        </w:rPr>
        <w:t>Подразделение</w:t>
      </w:r>
    </w:p>
    <w:p w:rsidR="00920915" w:rsidRPr="003B32AE" w:rsidRDefault="00920915" w:rsidP="00920915">
      <w:pPr>
        <w:jc w:val="both"/>
        <w:rPr>
          <w:sz w:val="16"/>
          <w:szCs w:val="16"/>
        </w:rPr>
      </w:pPr>
      <w:r w:rsidRPr="003B32AE">
        <w:rPr>
          <w:sz w:val="16"/>
          <w:szCs w:val="16"/>
        </w:rPr>
        <w:t>Исполнитель</w:t>
      </w:r>
    </w:p>
    <w:p w:rsidR="00920915" w:rsidRPr="003B32AE" w:rsidRDefault="00920915" w:rsidP="00920915">
      <w:pPr>
        <w:jc w:val="both"/>
        <w:rPr>
          <w:sz w:val="16"/>
          <w:szCs w:val="16"/>
        </w:rPr>
      </w:pPr>
      <w:r w:rsidRPr="003B32AE">
        <w:rPr>
          <w:sz w:val="16"/>
          <w:szCs w:val="16"/>
        </w:rPr>
        <w:t>Телефон</w:t>
      </w:r>
    </w:p>
    <w:sectPr w:rsidR="00920915" w:rsidRPr="003B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84" w:rsidRDefault="00FA1184" w:rsidP="00920915">
      <w:r>
        <w:separator/>
      </w:r>
    </w:p>
  </w:endnote>
  <w:endnote w:type="continuationSeparator" w:id="0">
    <w:p w:rsidR="00FA1184" w:rsidRDefault="00FA1184" w:rsidP="009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84" w:rsidRDefault="00FA1184" w:rsidP="00920915">
      <w:r>
        <w:separator/>
      </w:r>
    </w:p>
  </w:footnote>
  <w:footnote w:type="continuationSeparator" w:id="0">
    <w:p w:rsidR="00FA1184" w:rsidRDefault="00FA1184" w:rsidP="0092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630"/>
    <w:multiLevelType w:val="hybridMultilevel"/>
    <w:tmpl w:val="DAFCAF2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1BF66465"/>
    <w:multiLevelType w:val="multilevel"/>
    <w:tmpl w:val="4C4C6942"/>
    <w:lvl w:ilvl="0">
      <w:start w:val="1"/>
      <w:numFmt w:val="decimal"/>
      <w:lvlText w:val="%1."/>
      <w:lvlJc w:val="left"/>
      <w:pPr>
        <w:ind w:left="1949" w:hanging="531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center"/>
      <w:pPr>
        <w:ind w:left="574" w:hanging="2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9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2C7AC7"/>
    <w:multiLevelType w:val="hybridMultilevel"/>
    <w:tmpl w:val="ED427E64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3B1E2143"/>
    <w:multiLevelType w:val="hybridMultilevel"/>
    <w:tmpl w:val="A16E9D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8269AE"/>
    <w:multiLevelType w:val="hybridMultilevel"/>
    <w:tmpl w:val="22B86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B34799"/>
    <w:multiLevelType w:val="hybridMultilevel"/>
    <w:tmpl w:val="E1A06E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8540408"/>
    <w:multiLevelType w:val="hybridMultilevel"/>
    <w:tmpl w:val="97CCFDC6"/>
    <w:lvl w:ilvl="0" w:tplc="6A780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15"/>
    <w:rsid w:val="001E178D"/>
    <w:rsid w:val="00393558"/>
    <w:rsid w:val="00920915"/>
    <w:rsid w:val="00E35CC5"/>
    <w:rsid w:val="00ED3A46"/>
    <w:rsid w:val="00F044AA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0E24"/>
  <w15:chartTrackingRefBased/>
  <w15:docId w15:val="{EAF097C7-C00B-41B8-966E-C172080B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0915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920915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920915"/>
    <w:pPr>
      <w:widowControl w:val="0"/>
      <w:shd w:val="clear" w:color="auto" w:fill="FFFFFF"/>
      <w:spacing w:before="900" w:after="360" w:line="413" w:lineRule="exact"/>
      <w:ind w:hanging="5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20915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9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09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Солянников Глеб  Игоревич</dc:creator>
  <cp:keywords/>
  <dc:description/>
  <cp:lastModifiedBy>Виноградова Юлия Васильевна</cp:lastModifiedBy>
  <cp:revision>3</cp:revision>
  <dcterms:created xsi:type="dcterms:W3CDTF">2017-11-10T11:28:00Z</dcterms:created>
  <dcterms:modified xsi:type="dcterms:W3CDTF">2017-11-10T11:38:00Z</dcterms:modified>
</cp:coreProperties>
</file>